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28"/>
          <w:szCs w:val="28"/>
        </w:rPr>
      </w:pPr>
      <w:r>
        <w:rPr>
          <w:rFonts w:hint="eastAsia" w:hAnsi="宋体" w:cs="宋体"/>
          <w:b/>
          <w:sz w:val="30"/>
          <w:szCs w:val="30"/>
        </w:rPr>
        <w:t>杭州市第一人民医院</w:t>
      </w:r>
      <w:r>
        <w:rPr>
          <w:rFonts w:hint="eastAsia" w:hAnsi="宋体" w:cs="宋体"/>
          <w:b/>
          <w:sz w:val="30"/>
          <w:szCs w:val="30"/>
          <w:lang w:val="en-US" w:eastAsia="zh-CN"/>
        </w:rPr>
        <w:t>城东院区医疗废物智慧收集及称重设备</w:t>
      </w:r>
      <w:r>
        <w:rPr>
          <w:rFonts w:hint="eastAsia" w:ascii="宋体" w:hAnsi="宋体" w:eastAsia="宋体" w:cs="宋体"/>
          <w:b/>
          <w:bCs/>
          <w:sz w:val="28"/>
          <w:szCs w:val="28"/>
        </w:rPr>
        <w:t>采购项目</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一、项目概况</w:t>
      </w:r>
    </w:p>
    <w:p>
      <w:pPr>
        <w:rPr>
          <w:rFonts w:hint="eastAsia" w:ascii="宋体" w:hAnsi="宋体" w:eastAsia="宋体" w:cs="宋体"/>
          <w:sz w:val="24"/>
          <w:szCs w:val="24"/>
        </w:rPr>
      </w:pPr>
      <w:r>
        <w:rPr>
          <w:rFonts w:hint="eastAsia" w:ascii="宋体" w:hAnsi="宋体" w:eastAsia="宋体" w:cs="宋体"/>
          <w:sz w:val="24"/>
          <w:szCs w:val="24"/>
        </w:rPr>
        <w:t>项目名称：</w:t>
      </w:r>
      <w:r>
        <w:rPr>
          <w:rFonts w:hint="eastAsia" w:ascii="宋体" w:hAnsi="宋体" w:eastAsia="宋体" w:cs="宋体"/>
          <w:sz w:val="24"/>
          <w:szCs w:val="24"/>
          <w:lang w:val="en-US" w:eastAsia="zh-CN"/>
        </w:rPr>
        <w:t>杭州市第一人民医院</w:t>
      </w:r>
      <w:r>
        <w:rPr>
          <w:rFonts w:hint="eastAsia" w:ascii="宋体" w:hAnsi="宋体" w:eastAsia="宋体" w:cs="宋体"/>
          <w:sz w:val="24"/>
          <w:szCs w:val="24"/>
        </w:rPr>
        <w:t>城东院区</w:t>
      </w:r>
      <w:r>
        <w:rPr>
          <w:rFonts w:hint="eastAsia" w:ascii="宋体" w:hAnsi="宋体" w:eastAsia="宋体" w:cs="宋体"/>
          <w:sz w:val="24"/>
          <w:szCs w:val="24"/>
          <w:lang w:val="en-US" w:eastAsia="zh-CN"/>
        </w:rPr>
        <w:t>医疗废物智慧收集及称重设备</w:t>
      </w:r>
      <w:r>
        <w:rPr>
          <w:rFonts w:hint="eastAsia" w:ascii="宋体" w:hAnsi="宋体" w:eastAsia="宋体" w:cs="宋体"/>
          <w:sz w:val="24"/>
          <w:szCs w:val="24"/>
        </w:rPr>
        <w:t>采购</w:t>
      </w:r>
      <w:bookmarkStart w:id="0" w:name="_GoBack"/>
      <w:bookmarkEnd w:id="0"/>
      <w:r>
        <w:rPr>
          <w:rFonts w:hint="eastAsia" w:ascii="宋体" w:hAnsi="宋体" w:eastAsia="宋体" w:cs="宋体"/>
          <w:sz w:val="24"/>
          <w:szCs w:val="24"/>
        </w:rPr>
        <w:t>及安装项目</w:t>
      </w:r>
    </w:p>
    <w:p>
      <w:pPr>
        <w:rPr>
          <w:rFonts w:hint="eastAsia" w:ascii="宋体" w:hAnsi="宋体" w:eastAsia="宋体" w:cs="宋体"/>
          <w:sz w:val="24"/>
          <w:szCs w:val="24"/>
        </w:rPr>
      </w:pPr>
      <w:r>
        <w:rPr>
          <w:rFonts w:hint="eastAsia" w:ascii="宋体" w:hAnsi="宋体" w:eastAsia="宋体" w:cs="宋体"/>
          <w:sz w:val="24"/>
          <w:szCs w:val="24"/>
        </w:rPr>
        <w:t>预算金额：人民币25万元（含税）</w:t>
      </w:r>
    </w:p>
    <w:p>
      <w:pPr>
        <w:rPr>
          <w:rFonts w:hint="eastAsia" w:ascii="宋体" w:hAnsi="宋体" w:eastAsia="宋体" w:cs="宋体"/>
          <w:sz w:val="24"/>
          <w:szCs w:val="24"/>
          <w:lang w:eastAsia="zh-CN"/>
        </w:rPr>
      </w:pPr>
      <w:r>
        <w:rPr>
          <w:rFonts w:hint="eastAsia" w:ascii="宋体" w:hAnsi="宋体" w:eastAsia="宋体" w:cs="宋体"/>
          <w:sz w:val="24"/>
          <w:szCs w:val="24"/>
        </w:rPr>
        <w:t>交货期：合同签订后</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日内完成安装调试</w:t>
      </w:r>
      <w:r>
        <w:rPr>
          <w:rFonts w:hint="eastAsia" w:ascii="宋体" w:hAnsi="宋体" w:eastAsia="宋体" w:cs="宋体"/>
          <w:sz w:val="24"/>
          <w:szCs w:val="24"/>
          <w:lang w:eastAsia="zh-CN"/>
        </w:rPr>
        <w:t>。</w:t>
      </w:r>
    </w:p>
    <w:p>
      <w:pPr>
        <w:rPr>
          <w:rFonts w:hint="default" w:ascii="宋体" w:hAnsi="宋体" w:eastAsia="宋体" w:cs="宋体"/>
          <w:sz w:val="24"/>
          <w:szCs w:val="24"/>
          <w:u w:val="single"/>
          <w:lang w:val="en-US" w:eastAsia="zh-CN"/>
        </w:rPr>
      </w:pPr>
      <w:r>
        <w:rPr>
          <w:rFonts w:hint="eastAsia" w:ascii="宋体" w:hAnsi="宋体" w:eastAsia="宋体" w:cs="宋体"/>
          <w:sz w:val="24"/>
          <w:szCs w:val="24"/>
          <w:lang w:val="en-US" w:eastAsia="zh-CN"/>
        </w:rPr>
        <w:t>质保期：所有设备验收合格后质保</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lang w:val="en-US" w:eastAsia="zh-CN"/>
        </w:rPr>
        <w:t>年。</w:t>
      </w:r>
    </w:p>
    <w:p>
      <w:pPr>
        <w:rPr>
          <w:rFonts w:hint="eastAsia" w:ascii="宋体" w:hAnsi="宋体" w:eastAsia="宋体" w:cs="宋体"/>
          <w:sz w:val="24"/>
          <w:szCs w:val="24"/>
        </w:rPr>
      </w:pPr>
      <w:r>
        <w:rPr>
          <w:rFonts w:hint="eastAsia" w:ascii="宋体" w:hAnsi="宋体" w:eastAsia="宋体" w:cs="宋体"/>
          <w:sz w:val="24"/>
          <w:szCs w:val="24"/>
        </w:rPr>
        <w:t>二、采购内容及技术要求</w:t>
      </w:r>
    </w:p>
    <w:p>
      <w:pPr>
        <w:rPr>
          <w:rFonts w:hint="eastAsia" w:ascii="宋体" w:hAnsi="宋体" w:eastAsia="宋体" w:cs="宋体"/>
          <w:sz w:val="24"/>
          <w:szCs w:val="24"/>
          <w:lang w:val="en-US" w:eastAsia="zh-CN"/>
        </w:rPr>
      </w:pPr>
      <w:r>
        <w:rPr>
          <w:rFonts w:hint="eastAsia" w:ascii="宋体" w:hAnsi="宋体" w:eastAsia="宋体" w:cs="宋体"/>
          <w:sz w:val="24"/>
          <w:szCs w:val="24"/>
        </w:rPr>
        <w:t>2.1</w:t>
      </w:r>
      <w:r>
        <w:rPr>
          <w:rFonts w:hint="eastAsia" w:ascii="宋体" w:hAnsi="宋体" w:eastAsia="宋体" w:cs="宋体"/>
          <w:sz w:val="24"/>
          <w:szCs w:val="24"/>
          <w:lang w:val="en-US" w:eastAsia="zh-CN"/>
        </w:rPr>
        <w:t>配置需求一览表</w:t>
      </w:r>
    </w:p>
    <w:tbl>
      <w:tblPr>
        <w:tblStyle w:val="4"/>
        <w:tblW w:w="494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1283"/>
        <w:gridCol w:w="4840"/>
        <w:gridCol w:w="908"/>
        <w:gridCol w:w="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270" w:type="pct"/>
            <w:noWrap w:val="0"/>
            <w:vAlign w:val="center"/>
          </w:tcPr>
          <w:p>
            <w:pPr>
              <w:pStyle w:val="3"/>
              <w:spacing w:after="0"/>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序号</w:t>
            </w:r>
          </w:p>
        </w:tc>
        <w:tc>
          <w:tcPr>
            <w:tcW w:w="761" w:type="pct"/>
            <w:noWrap w:val="0"/>
            <w:vAlign w:val="center"/>
          </w:tcPr>
          <w:p>
            <w:pPr>
              <w:pStyle w:val="3"/>
              <w:spacing w:after="0"/>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设备名称</w:t>
            </w:r>
          </w:p>
        </w:tc>
        <w:tc>
          <w:tcPr>
            <w:tcW w:w="2869" w:type="pct"/>
            <w:noWrap w:val="0"/>
            <w:vAlign w:val="center"/>
          </w:tcPr>
          <w:p>
            <w:pPr>
              <w:pStyle w:val="3"/>
              <w:spacing w:after="0"/>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主要技术参数要求</w:t>
            </w:r>
          </w:p>
        </w:tc>
        <w:tc>
          <w:tcPr>
            <w:tcW w:w="538" w:type="pct"/>
            <w:noWrap w:val="0"/>
            <w:vAlign w:val="center"/>
          </w:tcPr>
          <w:p>
            <w:pPr>
              <w:pStyle w:val="3"/>
              <w:spacing w:after="0"/>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单位</w:t>
            </w:r>
          </w:p>
        </w:tc>
        <w:tc>
          <w:tcPr>
            <w:tcW w:w="560" w:type="pct"/>
            <w:noWrap w:val="0"/>
            <w:vAlign w:val="center"/>
          </w:tcPr>
          <w:p>
            <w:pPr>
              <w:pStyle w:val="3"/>
              <w:spacing w:after="0"/>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270" w:type="pct"/>
            <w:noWrap w:val="0"/>
            <w:vAlign w:val="center"/>
          </w:tcPr>
          <w:p>
            <w:pPr>
              <w:pStyle w:val="3"/>
              <w:spacing w:after="0"/>
              <w:ind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761" w:type="pct"/>
            <w:noWrap w:val="0"/>
            <w:vAlign w:val="center"/>
          </w:tcPr>
          <w:p>
            <w:pPr>
              <w:pStyle w:val="3"/>
              <w:spacing w:after="0"/>
              <w:ind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自动化采集设备</w:t>
            </w:r>
          </w:p>
        </w:tc>
        <w:tc>
          <w:tcPr>
            <w:tcW w:w="2869" w:type="pct"/>
            <w:noWrap w:val="0"/>
            <w:vAlign w:val="center"/>
          </w:tcPr>
          <w:p>
            <w:pPr>
              <w:pStyle w:val="6"/>
              <w:widowControl/>
              <w:numPr>
                <w:ilvl w:val="0"/>
                <w:numId w:val="0"/>
              </w:numPr>
              <w:spacing w:line="360" w:lineRule="auto"/>
              <w:ind w:hanging="90"/>
              <w:jc w:val="left"/>
              <w:rPr>
                <w:rFonts w:hint="eastAsia" w:ascii="宋体" w:hAnsi="宋体" w:eastAsia="宋体" w:cs="宋体"/>
                <w:sz w:val="24"/>
                <w:szCs w:val="24"/>
                <w:lang w:val="en-US" w:eastAsia="zh-CN"/>
              </w:rPr>
            </w:pPr>
            <w:r>
              <w:rPr>
                <w:rFonts w:hint="eastAsia" w:ascii="宋体" w:hAnsi="宋体" w:eastAsia="宋体" w:cs="宋体"/>
                <w:sz w:val="24"/>
                <w:szCs w:val="24"/>
              </w:rPr>
              <w:t>1、组合形式：根据</w:t>
            </w:r>
            <w:r>
              <w:rPr>
                <w:rFonts w:hint="eastAsia" w:ascii="宋体" w:hAnsi="宋体" w:eastAsia="宋体" w:cs="宋体"/>
                <w:sz w:val="24"/>
                <w:szCs w:val="24"/>
                <w:lang w:val="en-US" w:eastAsia="zh-CN"/>
              </w:rPr>
              <w:t>每个暂存点的</w:t>
            </w:r>
            <w:r>
              <w:rPr>
                <w:rFonts w:hint="eastAsia" w:ascii="宋体" w:hAnsi="宋体" w:eastAsia="宋体" w:cs="宋体"/>
                <w:sz w:val="24"/>
                <w:szCs w:val="24"/>
              </w:rPr>
              <w:t>实际空间情况，</w:t>
            </w:r>
            <w:r>
              <w:rPr>
                <w:rFonts w:hint="eastAsia" w:ascii="宋体" w:hAnsi="宋体" w:eastAsia="宋体" w:cs="宋体"/>
                <w:sz w:val="24"/>
                <w:szCs w:val="24"/>
                <w:lang w:val="en-US" w:eastAsia="zh-CN"/>
              </w:rPr>
              <w:t>部署1套自动采集设备，该设备</w:t>
            </w:r>
            <w:r>
              <w:rPr>
                <w:rFonts w:hint="eastAsia" w:ascii="宋体" w:hAnsi="宋体" w:eastAsia="宋体" w:cs="宋体"/>
                <w:sz w:val="24"/>
                <w:szCs w:val="24"/>
              </w:rPr>
              <w:t>每套</w:t>
            </w:r>
            <w:r>
              <w:rPr>
                <w:rFonts w:hint="eastAsia" w:ascii="宋体" w:hAnsi="宋体" w:eastAsia="宋体" w:cs="宋体"/>
                <w:sz w:val="24"/>
                <w:szCs w:val="24"/>
                <w:lang w:val="en-US" w:eastAsia="zh-CN"/>
              </w:rPr>
              <w:t>包含</w:t>
            </w:r>
            <w:r>
              <w:rPr>
                <w:rFonts w:hint="eastAsia" w:ascii="宋体" w:hAnsi="宋体" w:eastAsia="宋体" w:cs="宋体"/>
                <w:sz w:val="24"/>
                <w:szCs w:val="24"/>
              </w:rPr>
              <w:t>2个</w:t>
            </w:r>
            <w:r>
              <w:rPr>
                <w:rFonts w:hint="eastAsia" w:ascii="宋体" w:hAnsi="宋体" w:eastAsia="宋体" w:cs="宋体"/>
                <w:sz w:val="24"/>
                <w:szCs w:val="24"/>
                <w:lang w:val="en-US" w:eastAsia="zh-CN"/>
              </w:rPr>
              <w:t>秤台和1台主控主机；</w:t>
            </w:r>
          </w:p>
          <w:p>
            <w:pPr>
              <w:rPr>
                <w:rFonts w:hint="eastAsia" w:ascii="宋体" w:hAnsi="宋体" w:eastAsia="宋体" w:cs="宋体"/>
                <w:sz w:val="24"/>
                <w:szCs w:val="24"/>
                <w:lang w:val="en-US" w:eastAsia="zh-CN"/>
              </w:rPr>
            </w:pPr>
          </w:p>
          <w:p>
            <w:pPr>
              <w:pStyle w:val="6"/>
              <w:widowControl/>
              <w:numPr>
                <w:ilvl w:val="0"/>
                <w:numId w:val="0"/>
              </w:numPr>
              <w:spacing w:line="360" w:lineRule="auto"/>
              <w:ind w:hanging="90"/>
              <w:rPr>
                <w:rFonts w:hint="eastAsia" w:ascii="宋体" w:hAnsi="宋体" w:eastAsia="宋体" w:cs="宋体"/>
                <w:sz w:val="24"/>
                <w:szCs w:val="24"/>
              </w:rPr>
            </w:pPr>
            <w:r>
              <w:rPr>
                <w:rFonts w:hint="eastAsia" w:ascii="宋体" w:hAnsi="宋体" w:eastAsia="宋体" w:cs="宋体"/>
                <w:sz w:val="24"/>
                <w:szCs w:val="24"/>
              </w:rPr>
              <w:t>2、外观要求：</w:t>
            </w:r>
          </w:p>
          <w:p>
            <w:pPr>
              <w:pStyle w:val="6"/>
              <w:widowControl/>
              <w:numPr>
                <w:ilvl w:val="0"/>
                <w:numId w:val="2"/>
              </w:numPr>
              <w:spacing w:line="360" w:lineRule="auto"/>
              <w:ind w:left="420" w:leftChars="0" w:hanging="420" w:firstLineChars="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大号秤台</w:t>
            </w:r>
            <w:r>
              <w:rPr>
                <w:rFonts w:hint="eastAsia" w:ascii="宋体" w:hAnsi="宋体" w:eastAsia="宋体" w:cs="宋体"/>
                <w:sz w:val="24"/>
                <w:szCs w:val="24"/>
                <w:highlight w:val="none"/>
              </w:rPr>
              <w:t>长宽高</w:t>
            </w:r>
            <w:r>
              <w:rPr>
                <w:rFonts w:hint="eastAsia" w:ascii="宋体" w:hAnsi="宋体" w:eastAsia="宋体" w:cs="宋体"/>
                <w:sz w:val="24"/>
                <w:szCs w:val="24"/>
                <w:highlight w:val="none"/>
                <w:lang w:val="en-US" w:eastAsia="zh-CN"/>
              </w:rPr>
              <w:t>要求</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适配处置公司的大号周转容器</w:t>
            </w:r>
            <w:r>
              <w:rPr>
                <w:rFonts w:hint="eastAsia" w:ascii="宋体" w:hAnsi="宋体" w:eastAsia="宋体" w:cs="宋体"/>
                <w:sz w:val="24"/>
                <w:szCs w:val="24"/>
                <w:highlight w:val="none"/>
              </w:rPr>
              <w:t>；</w:t>
            </w:r>
          </w:p>
          <w:p>
            <w:pPr>
              <w:pStyle w:val="6"/>
              <w:widowControl/>
              <w:numPr>
                <w:ilvl w:val="0"/>
                <w:numId w:val="2"/>
              </w:numPr>
              <w:spacing w:line="360" w:lineRule="auto"/>
              <w:ind w:left="420" w:leftChars="0" w:hanging="420" w:firstLineChars="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小号秤台</w:t>
            </w:r>
            <w:r>
              <w:rPr>
                <w:rFonts w:hint="eastAsia" w:ascii="宋体" w:hAnsi="宋体" w:eastAsia="宋体" w:cs="宋体"/>
                <w:sz w:val="24"/>
                <w:szCs w:val="24"/>
                <w:highlight w:val="none"/>
              </w:rPr>
              <w:t>长宽高</w:t>
            </w:r>
            <w:r>
              <w:rPr>
                <w:rFonts w:hint="eastAsia" w:ascii="宋体" w:hAnsi="宋体" w:eastAsia="宋体" w:cs="宋体"/>
                <w:sz w:val="24"/>
                <w:szCs w:val="24"/>
                <w:highlight w:val="none"/>
                <w:lang w:val="en-US" w:eastAsia="zh-CN"/>
              </w:rPr>
              <w:t>要求</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适配处置公司的小号周转容器</w:t>
            </w:r>
            <w:r>
              <w:rPr>
                <w:rFonts w:hint="eastAsia" w:ascii="宋体" w:hAnsi="宋体" w:eastAsia="宋体" w:cs="宋体"/>
                <w:sz w:val="24"/>
                <w:szCs w:val="24"/>
                <w:highlight w:val="none"/>
              </w:rPr>
              <w:t>；</w:t>
            </w:r>
          </w:p>
          <w:p>
            <w:pPr>
              <w:pStyle w:val="6"/>
              <w:widowControl/>
              <w:numPr>
                <w:ilvl w:val="0"/>
                <w:numId w:val="2"/>
              </w:numPr>
              <w:spacing w:line="360" w:lineRule="auto"/>
              <w:ind w:left="420" w:leftChars="0" w:hanging="420" w:firstLineChars="0"/>
              <w:rPr>
                <w:rFonts w:hint="eastAsia" w:ascii="宋体" w:hAnsi="宋体" w:eastAsia="宋体" w:cs="宋体"/>
                <w:sz w:val="24"/>
                <w:szCs w:val="24"/>
              </w:rPr>
            </w:pPr>
            <w:r>
              <w:rPr>
                <w:rFonts w:hint="eastAsia" w:ascii="宋体" w:hAnsi="宋体" w:eastAsia="宋体" w:cs="宋体"/>
                <w:sz w:val="24"/>
                <w:szCs w:val="24"/>
              </w:rPr>
              <w:t>外观颜色为</w:t>
            </w:r>
            <w:r>
              <w:rPr>
                <w:rFonts w:hint="eastAsia" w:ascii="宋体" w:hAnsi="宋体" w:eastAsia="宋体" w:cs="宋体"/>
                <w:sz w:val="24"/>
                <w:szCs w:val="24"/>
                <w:lang w:val="en-US" w:eastAsia="zh-CN"/>
              </w:rPr>
              <w:t>不锈钢原</w:t>
            </w:r>
            <w:r>
              <w:rPr>
                <w:rFonts w:hint="eastAsia" w:ascii="宋体" w:hAnsi="宋体" w:eastAsia="宋体" w:cs="宋体"/>
                <w:sz w:val="24"/>
                <w:szCs w:val="24"/>
              </w:rPr>
              <w:t>色，具体根据采购方要求做调整。</w:t>
            </w:r>
          </w:p>
          <w:p>
            <w:pPr>
              <w:rPr>
                <w:rFonts w:hint="eastAsia" w:ascii="宋体" w:hAnsi="宋体" w:eastAsia="宋体" w:cs="宋体"/>
                <w:sz w:val="24"/>
                <w:szCs w:val="24"/>
              </w:rPr>
            </w:pPr>
          </w:p>
          <w:p>
            <w:pPr>
              <w:pStyle w:val="6"/>
              <w:widowControl/>
              <w:numPr>
                <w:ilvl w:val="0"/>
                <w:numId w:val="0"/>
              </w:numPr>
              <w:spacing w:line="360" w:lineRule="auto"/>
              <w:ind w:hanging="9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3、功能：</w:t>
            </w:r>
          </w:p>
          <w:p>
            <w:pPr>
              <w:pStyle w:val="6"/>
              <w:widowControl/>
              <w:numPr>
                <w:ilvl w:val="0"/>
                <w:numId w:val="0"/>
              </w:numPr>
              <w:spacing w:line="360" w:lineRule="auto"/>
              <w:ind w:hanging="90"/>
              <w:rPr>
                <w:rFonts w:hint="eastAsia" w:ascii="宋体" w:hAnsi="宋体" w:eastAsia="宋体" w:cs="宋体"/>
                <w:color w:val="auto"/>
                <w:sz w:val="24"/>
                <w:szCs w:val="24"/>
                <w:lang w:val="en-US" w:eastAsia="zh-CN"/>
              </w:rPr>
            </w:pPr>
            <w:r>
              <w:rPr>
                <w:rFonts w:hint="eastAsia"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lang w:val="en-US" w:eastAsia="zh-CN"/>
              </w:rPr>
              <w:t>根据要求可对每个秤台设定专属种类，并可临时修改种类属性；可满足人员身份认证、刷卡交接功能；</w:t>
            </w:r>
            <w:r>
              <w:rPr>
                <w:rFonts w:hint="eastAsia" w:ascii="宋体" w:hAnsi="宋体" w:eastAsia="宋体" w:cs="宋体"/>
                <w:color w:val="auto"/>
                <w:sz w:val="24"/>
                <w:szCs w:val="24"/>
                <w:highlight w:val="none"/>
              </w:rPr>
              <w:t>设备</w:t>
            </w:r>
            <w:r>
              <w:rPr>
                <w:rFonts w:hint="eastAsia" w:ascii="宋体" w:hAnsi="宋体" w:eastAsia="宋体" w:cs="宋体"/>
                <w:color w:val="auto"/>
                <w:sz w:val="24"/>
                <w:szCs w:val="24"/>
                <w:highlight w:val="none"/>
                <w:lang w:val="en-US" w:eastAsia="zh-CN"/>
              </w:rPr>
              <w:t>满足</w:t>
            </w:r>
            <w:r>
              <w:rPr>
                <w:rFonts w:hint="eastAsia" w:ascii="宋体" w:hAnsi="宋体" w:eastAsia="宋体" w:cs="宋体"/>
                <w:color w:val="auto"/>
                <w:sz w:val="24"/>
                <w:szCs w:val="24"/>
                <w:highlight w:val="none"/>
              </w:rPr>
              <w:t>自动打印医废标签</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数据自动上传</w:t>
            </w:r>
            <w:r>
              <w:rPr>
                <w:rFonts w:hint="eastAsia" w:ascii="宋体" w:hAnsi="宋体" w:eastAsia="宋体" w:cs="宋体"/>
                <w:color w:val="auto"/>
                <w:sz w:val="24"/>
                <w:szCs w:val="24"/>
                <w:highlight w:val="none"/>
                <w:lang w:val="en-US" w:eastAsia="zh-CN"/>
              </w:rPr>
              <w:t>功能；</w:t>
            </w:r>
          </w:p>
          <w:p>
            <w:pPr>
              <w:pStyle w:val="6"/>
              <w:widowControl/>
              <w:numPr>
                <w:ilvl w:val="0"/>
                <w:numId w:val="0"/>
              </w:numPr>
              <w:spacing w:line="360" w:lineRule="auto"/>
              <w:ind w:hanging="90"/>
              <w:rPr>
                <w:rFonts w:hint="eastAsia" w:ascii="宋体" w:hAnsi="宋体" w:eastAsia="宋体" w:cs="宋体"/>
                <w:color w:val="auto"/>
                <w:sz w:val="24"/>
                <w:szCs w:val="24"/>
                <w:highlight w:val="none"/>
                <w:lang w:val="en-US" w:eastAsia="zh-CN"/>
              </w:rPr>
            </w:pPr>
            <w:r>
              <w:rPr>
                <w:rFonts w:hint="eastAsia"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设备可根据重量自动判定并精准计算投放采集或满桶满箱称重的要求，实现数据自动化采集目的；</w:t>
            </w:r>
          </w:p>
          <w:p>
            <w:pPr>
              <w:pStyle w:val="6"/>
              <w:widowControl/>
              <w:numPr>
                <w:ilvl w:val="0"/>
                <w:numId w:val="0"/>
              </w:numPr>
              <w:spacing w:line="360" w:lineRule="auto"/>
              <w:ind w:hanging="90"/>
              <w:rPr>
                <w:rFonts w:hint="eastAsia" w:ascii="宋体" w:hAnsi="宋体" w:eastAsia="宋体" w:cs="宋体"/>
                <w:color w:val="auto"/>
                <w:sz w:val="24"/>
                <w:szCs w:val="24"/>
                <w:highlight w:val="none"/>
              </w:rPr>
            </w:pPr>
            <w:r>
              <w:rPr>
                <w:rFonts w:hint="eastAsia" w:hAnsi="宋体" w:eastAsia="宋体" w:cs="宋体"/>
                <w:color w:val="auto"/>
                <w:sz w:val="24"/>
                <w:szCs w:val="24"/>
                <w:highlight w:val="none"/>
                <w:lang w:val="en-US" w:eastAsia="zh-CN"/>
              </w:rPr>
              <w:t>（3）</w:t>
            </w:r>
            <w:r>
              <w:rPr>
                <w:rFonts w:hint="eastAsia" w:hAnsi="宋体" w:cs="宋体"/>
                <w:color w:val="auto"/>
                <w:sz w:val="21"/>
                <w:szCs w:val="21"/>
                <w:highlight w:val="none"/>
              </w:rPr>
              <w:t>★</w:t>
            </w:r>
            <w:r>
              <w:rPr>
                <w:rFonts w:hint="eastAsia" w:ascii="宋体" w:hAnsi="宋体" w:eastAsia="宋体" w:cs="宋体"/>
                <w:color w:val="auto"/>
                <w:sz w:val="24"/>
                <w:szCs w:val="24"/>
                <w:highlight w:val="none"/>
                <w:lang w:val="en-US" w:eastAsia="zh-CN"/>
              </w:rPr>
              <w:t>系统对接要求：搭载的系统软件能</w:t>
            </w:r>
            <w:r>
              <w:rPr>
                <w:rFonts w:hint="eastAsia" w:ascii="宋体" w:hAnsi="宋体" w:eastAsia="宋体" w:cs="宋体"/>
                <w:color w:val="auto"/>
                <w:sz w:val="24"/>
                <w:szCs w:val="24"/>
                <w:highlight w:val="none"/>
              </w:rPr>
              <w:t>与医疗废物</w:t>
            </w:r>
            <w:r>
              <w:rPr>
                <w:rFonts w:hint="eastAsia" w:hAnsi="宋体" w:eastAsia="宋体" w:cs="宋体"/>
                <w:color w:val="auto"/>
                <w:sz w:val="24"/>
                <w:szCs w:val="24"/>
                <w:highlight w:val="none"/>
                <w:lang w:val="en-US" w:eastAsia="zh-CN"/>
              </w:rPr>
              <w:t>转运</w:t>
            </w:r>
            <w:r>
              <w:rPr>
                <w:rFonts w:hint="eastAsia" w:ascii="宋体" w:hAnsi="宋体" w:eastAsia="宋体" w:cs="宋体"/>
                <w:color w:val="auto"/>
                <w:sz w:val="24"/>
                <w:szCs w:val="24"/>
                <w:highlight w:val="none"/>
              </w:rPr>
              <w:t>公司管理系统对接</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满足规范化数字交接要求</w:t>
            </w:r>
            <w:r>
              <w:rPr>
                <w:rFonts w:hint="eastAsia" w:hAnsi="宋体" w:eastAsia="宋体" w:cs="宋体"/>
                <w:color w:val="auto"/>
                <w:sz w:val="24"/>
                <w:szCs w:val="24"/>
                <w:highlight w:val="none"/>
                <w:lang w:val="en-US" w:eastAsia="zh-CN"/>
              </w:rPr>
              <w:t>，同时</w:t>
            </w:r>
            <w:r>
              <w:rPr>
                <w:rFonts w:hint="eastAsia" w:ascii="宋体" w:hAnsi="宋体" w:eastAsia="宋体" w:cs="宋体"/>
                <w:color w:val="auto"/>
                <w:sz w:val="24"/>
                <w:szCs w:val="24"/>
                <w:highlight w:val="none"/>
                <w:lang w:val="en-US" w:eastAsia="zh-CN"/>
              </w:rPr>
              <w:t>能实现与</w:t>
            </w:r>
            <w:r>
              <w:rPr>
                <w:rFonts w:hint="eastAsia" w:ascii="宋体" w:hAnsi="宋体" w:eastAsia="宋体" w:cs="宋体"/>
                <w:color w:val="auto"/>
                <w:sz w:val="24"/>
                <w:szCs w:val="24"/>
                <w:highlight w:val="none"/>
              </w:rPr>
              <w:t>浙江省医疗废物智慧监管系统</w:t>
            </w:r>
            <w:r>
              <w:rPr>
                <w:rFonts w:hint="eastAsia" w:ascii="宋体" w:hAnsi="宋体" w:eastAsia="宋体" w:cs="宋体"/>
                <w:color w:val="auto"/>
                <w:sz w:val="24"/>
                <w:szCs w:val="24"/>
                <w:highlight w:val="none"/>
                <w:lang w:val="en-US" w:eastAsia="zh-CN"/>
              </w:rPr>
              <w:t>对接</w:t>
            </w:r>
            <w:r>
              <w:rPr>
                <w:rFonts w:hint="eastAsia" w:ascii="宋体" w:hAnsi="宋体" w:eastAsia="宋体" w:cs="宋体"/>
                <w:color w:val="auto"/>
                <w:sz w:val="24"/>
                <w:szCs w:val="24"/>
                <w:highlight w:val="none"/>
              </w:rPr>
              <w:t>。</w:t>
            </w:r>
          </w:p>
          <w:p>
            <w:pPr>
              <w:pStyle w:val="6"/>
              <w:widowControl/>
              <w:numPr>
                <w:ilvl w:val="0"/>
                <w:numId w:val="0"/>
              </w:numPr>
              <w:spacing w:line="360" w:lineRule="auto"/>
              <w:ind w:hanging="90"/>
              <w:rPr>
                <w:rFonts w:hint="eastAsia" w:ascii="宋体" w:hAnsi="宋体" w:eastAsia="宋体" w:cs="宋体"/>
                <w:color w:val="auto"/>
                <w:sz w:val="24"/>
                <w:szCs w:val="24"/>
                <w:highlight w:val="none"/>
              </w:rPr>
            </w:pPr>
            <w:r>
              <w:rPr>
                <w:rFonts w:hint="eastAsia" w:hAnsi="宋体" w:eastAsia="宋体" w:cs="宋体"/>
                <w:color w:val="auto"/>
                <w:sz w:val="24"/>
                <w:szCs w:val="24"/>
                <w:highlight w:val="none"/>
                <w:lang w:eastAsia="zh-CN"/>
              </w:rPr>
              <w:t>（</w:t>
            </w:r>
            <w:r>
              <w:rPr>
                <w:rFonts w:hint="eastAsia" w:hAnsi="宋体" w:eastAsia="宋体" w:cs="宋体"/>
                <w:color w:val="auto"/>
                <w:sz w:val="24"/>
                <w:szCs w:val="24"/>
                <w:highlight w:val="none"/>
                <w:lang w:val="en-US" w:eastAsia="zh-CN"/>
              </w:rPr>
              <w:t>5</w:t>
            </w:r>
            <w:r>
              <w:rPr>
                <w:rFonts w:hint="eastAsia" w:hAnsi="宋体" w:eastAsia="宋体" w:cs="宋体"/>
                <w:color w:val="auto"/>
                <w:sz w:val="24"/>
                <w:szCs w:val="24"/>
                <w:highlight w:val="none"/>
                <w:lang w:eastAsia="zh-CN"/>
              </w:rPr>
              <w:t>）</w:t>
            </w:r>
            <w:r>
              <w:rPr>
                <w:rFonts w:hint="eastAsia" w:hAnsi="宋体" w:cs="宋体"/>
                <w:color w:val="auto"/>
                <w:sz w:val="21"/>
                <w:szCs w:val="21"/>
                <w:highlight w:val="none"/>
              </w:rPr>
              <w:t>★</w:t>
            </w:r>
            <w:r>
              <w:rPr>
                <w:rFonts w:hint="eastAsia" w:hAnsi="宋体" w:eastAsia="宋体" w:cs="宋体"/>
                <w:color w:val="auto"/>
                <w:sz w:val="24"/>
                <w:szCs w:val="24"/>
                <w:highlight w:val="none"/>
                <w:lang w:val="en-US" w:eastAsia="zh-CN"/>
              </w:rPr>
              <w:t>数据一体化</w:t>
            </w:r>
            <w:r>
              <w:rPr>
                <w:rFonts w:hint="eastAsia" w:ascii="宋体" w:hAnsi="宋体" w:eastAsia="宋体" w:cs="宋体"/>
                <w:color w:val="auto"/>
                <w:sz w:val="24"/>
                <w:szCs w:val="24"/>
                <w:highlight w:val="none"/>
                <w:lang w:val="en-US" w:eastAsia="zh-CN"/>
              </w:rPr>
              <w:t>要求：设备搭载的系统软件，能实现与招标方现有的医疗废物管理系统数据对接</w:t>
            </w:r>
            <w:r>
              <w:rPr>
                <w:rFonts w:hint="eastAsia" w:ascii="宋体" w:hAnsi="宋体" w:eastAsia="宋体" w:cs="宋体"/>
                <w:color w:val="auto"/>
                <w:sz w:val="24"/>
                <w:szCs w:val="24"/>
                <w:highlight w:val="none"/>
              </w:rPr>
              <w:t>。</w:t>
            </w:r>
          </w:p>
          <w:p>
            <w:pPr>
              <w:pStyle w:val="6"/>
              <w:widowControl/>
              <w:numPr>
                <w:ilvl w:val="0"/>
                <w:numId w:val="0"/>
              </w:numPr>
              <w:spacing w:line="360" w:lineRule="auto"/>
              <w:ind w:hanging="90"/>
              <w:rPr>
                <w:rFonts w:hint="eastAsia" w:ascii="宋体" w:hAnsi="宋体" w:eastAsia="宋体" w:cs="宋体"/>
                <w:color w:val="auto"/>
                <w:sz w:val="24"/>
                <w:szCs w:val="24"/>
              </w:rPr>
            </w:pPr>
            <w:r>
              <w:rPr>
                <w:rFonts w:hint="eastAsia" w:hAnsi="宋体" w:eastAsia="宋体" w:cs="宋体"/>
                <w:color w:val="auto"/>
                <w:sz w:val="24"/>
                <w:szCs w:val="24"/>
                <w:highlight w:val="none"/>
                <w:lang w:eastAsia="zh-CN"/>
              </w:rPr>
              <w:t>（</w:t>
            </w:r>
            <w:r>
              <w:rPr>
                <w:rFonts w:hint="eastAsia" w:hAnsi="宋体" w:eastAsia="宋体" w:cs="宋体"/>
                <w:color w:val="auto"/>
                <w:sz w:val="24"/>
                <w:szCs w:val="24"/>
                <w:highlight w:val="none"/>
                <w:lang w:val="en-US" w:eastAsia="zh-CN"/>
              </w:rPr>
              <w:t>6</w:t>
            </w:r>
            <w:r>
              <w:rPr>
                <w:rFonts w:hint="eastAsia" w:hAnsi="宋体" w:eastAsia="宋体" w:cs="宋体"/>
                <w:color w:val="auto"/>
                <w:sz w:val="24"/>
                <w:szCs w:val="24"/>
                <w:highlight w:val="none"/>
                <w:lang w:eastAsia="zh-CN"/>
              </w:rPr>
              <w:t>）</w:t>
            </w:r>
            <w:r>
              <w:rPr>
                <w:rFonts w:hint="eastAsia" w:hAnsi="宋体" w:cs="宋体"/>
                <w:color w:val="auto"/>
                <w:sz w:val="21"/>
                <w:szCs w:val="21"/>
                <w:highlight w:val="none"/>
              </w:rPr>
              <w:t>★</w:t>
            </w:r>
            <w:r>
              <w:rPr>
                <w:rFonts w:hint="eastAsia" w:hAnsi="宋体" w:eastAsia="宋体" w:cs="宋体"/>
                <w:color w:val="auto"/>
                <w:sz w:val="24"/>
                <w:szCs w:val="24"/>
                <w:highlight w:val="none"/>
                <w:lang w:val="en-US" w:eastAsia="zh-CN"/>
              </w:rPr>
              <w:t>环保申报：实现</w:t>
            </w:r>
            <w:r>
              <w:rPr>
                <w:rFonts w:hint="eastAsia" w:ascii="宋体" w:hAnsi="宋体" w:eastAsia="宋体" w:cs="宋体"/>
                <w:color w:val="auto"/>
                <w:sz w:val="24"/>
                <w:szCs w:val="24"/>
                <w:highlight w:val="none"/>
                <w:lang w:val="en-US" w:eastAsia="zh-CN"/>
              </w:rPr>
              <w:t>浙江省</w:t>
            </w:r>
            <w:r>
              <w:rPr>
                <w:rFonts w:hint="eastAsia" w:hAnsi="宋体" w:eastAsia="宋体" w:cs="宋体"/>
                <w:color w:val="auto"/>
                <w:sz w:val="24"/>
                <w:szCs w:val="24"/>
                <w:highlight w:val="none"/>
                <w:lang w:val="en-US" w:eastAsia="zh-CN"/>
              </w:rPr>
              <w:t>固体</w:t>
            </w:r>
            <w:r>
              <w:rPr>
                <w:rFonts w:hint="eastAsia" w:ascii="宋体" w:hAnsi="宋体" w:eastAsia="宋体" w:cs="宋体"/>
                <w:color w:val="auto"/>
                <w:sz w:val="24"/>
                <w:szCs w:val="24"/>
                <w:highlight w:val="none"/>
                <w:lang w:val="en-US" w:eastAsia="zh-CN"/>
              </w:rPr>
              <w:t>废物监管信息系统</w:t>
            </w:r>
            <w:r>
              <w:rPr>
                <w:rFonts w:hint="eastAsia" w:hAnsi="宋体" w:eastAsia="宋体" w:cs="宋体"/>
                <w:color w:val="auto"/>
                <w:sz w:val="24"/>
                <w:szCs w:val="24"/>
                <w:highlight w:val="none"/>
                <w:lang w:val="en-US" w:eastAsia="zh-CN"/>
              </w:rPr>
              <w:t>的快速申报</w:t>
            </w:r>
            <w:r>
              <w:rPr>
                <w:rFonts w:hint="eastAsia" w:ascii="宋体" w:hAnsi="宋体" w:eastAsia="宋体" w:cs="宋体"/>
                <w:color w:val="auto"/>
                <w:sz w:val="24"/>
                <w:szCs w:val="24"/>
                <w:highlight w:val="none"/>
              </w:rPr>
              <w:t>。</w:t>
            </w:r>
          </w:p>
          <w:p>
            <w:pPr>
              <w:rPr>
                <w:rFonts w:hint="eastAsia" w:ascii="宋体" w:hAnsi="宋体" w:eastAsia="宋体" w:cs="宋体"/>
                <w:color w:val="FF0000"/>
                <w:sz w:val="24"/>
                <w:szCs w:val="24"/>
                <w:highlight w:val="none"/>
              </w:rPr>
            </w:pPr>
          </w:p>
        </w:tc>
        <w:tc>
          <w:tcPr>
            <w:tcW w:w="538" w:type="pct"/>
            <w:noWrap w:val="0"/>
            <w:vAlign w:val="center"/>
          </w:tcPr>
          <w:p>
            <w:pPr>
              <w:pStyle w:val="3"/>
              <w:spacing w:after="0"/>
              <w:ind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套</w:t>
            </w:r>
          </w:p>
        </w:tc>
        <w:tc>
          <w:tcPr>
            <w:tcW w:w="560" w:type="pct"/>
            <w:noWrap w:val="0"/>
            <w:vAlign w:val="center"/>
          </w:tcPr>
          <w:p>
            <w:pPr>
              <w:pStyle w:val="3"/>
              <w:spacing w:after="0"/>
              <w:ind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trPr>
        <w:tc>
          <w:tcPr>
            <w:tcW w:w="270" w:type="pct"/>
            <w:noWrap w:val="0"/>
            <w:vAlign w:val="center"/>
          </w:tcPr>
          <w:p>
            <w:pPr>
              <w:pStyle w:val="3"/>
              <w:spacing w:after="0"/>
              <w:ind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761" w:type="pct"/>
            <w:noWrap w:val="0"/>
            <w:vAlign w:val="center"/>
          </w:tcPr>
          <w:p>
            <w:pPr>
              <w:pStyle w:val="3"/>
              <w:spacing w:after="0"/>
              <w:ind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配套转运车</w:t>
            </w:r>
          </w:p>
        </w:tc>
        <w:tc>
          <w:tcPr>
            <w:tcW w:w="2869" w:type="pct"/>
            <w:noWrap w:val="0"/>
            <w:vAlign w:val="center"/>
          </w:tcPr>
          <w:p>
            <w:pPr>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rPr>
              <w:t>1、</w:t>
            </w:r>
            <w:r>
              <w:rPr>
                <w:rFonts w:hint="eastAsia" w:ascii="宋体" w:hAnsi="宋体" w:eastAsia="宋体" w:cs="宋体"/>
                <w:sz w:val="24"/>
                <w:szCs w:val="24"/>
              </w:rPr>
              <w:t>静态尺寸:</w:t>
            </w:r>
            <w:r>
              <w:rPr>
                <w:rFonts w:hint="eastAsia" w:ascii="宋体" w:hAnsi="宋体" w:eastAsia="宋体" w:cs="宋体"/>
                <w:kern w:val="2"/>
                <w:sz w:val="24"/>
                <w:szCs w:val="24"/>
              </w:rPr>
              <w:t>配套医疗废物周转箱</w:t>
            </w:r>
            <w:r>
              <w:rPr>
                <w:rFonts w:hint="eastAsia" w:ascii="宋体" w:hAnsi="宋体" w:eastAsia="宋体" w:cs="宋体"/>
                <w:sz w:val="24"/>
                <w:szCs w:val="24"/>
              </w:rPr>
              <w:t>；</w:t>
            </w:r>
          </w:p>
          <w:p>
            <w:pPr>
              <w:spacing w:line="360" w:lineRule="auto"/>
              <w:jc w:val="left"/>
              <w:rPr>
                <w:rFonts w:hint="eastAsia" w:ascii="宋体" w:hAnsi="宋体" w:eastAsia="宋体" w:cs="宋体"/>
                <w:sz w:val="24"/>
                <w:szCs w:val="24"/>
              </w:rPr>
            </w:pPr>
            <w:r>
              <w:rPr>
                <w:rFonts w:hint="eastAsia" w:ascii="宋体" w:hAnsi="宋体" w:eastAsia="宋体" w:cs="宋体"/>
                <w:kern w:val="0"/>
                <w:sz w:val="24"/>
                <w:szCs w:val="24"/>
              </w:rPr>
              <w:t>2、</w:t>
            </w:r>
            <w:r>
              <w:rPr>
                <w:rFonts w:hint="eastAsia" w:ascii="宋体" w:hAnsi="宋体" w:eastAsia="宋体" w:cs="宋体"/>
                <w:sz w:val="24"/>
                <w:szCs w:val="24"/>
              </w:rPr>
              <w:t>304不锈钢材质，厚度为1.2mm；</w:t>
            </w:r>
          </w:p>
          <w:p>
            <w:pPr>
              <w:numPr>
                <w:ilvl w:val="0"/>
                <w:numId w:val="3"/>
              </w:numPr>
              <w:spacing w:line="360" w:lineRule="auto"/>
              <w:jc w:val="left"/>
              <w:rPr>
                <w:rFonts w:hint="eastAsia" w:ascii="宋体" w:hAnsi="宋体" w:eastAsia="宋体" w:cs="宋体"/>
                <w:color w:val="auto"/>
                <w:kern w:val="2"/>
                <w:sz w:val="24"/>
                <w:szCs w:val="24"/>
                <w:highlight w:val="none"/>
              </w:rPr>
            </w:pPr>
            <w:r>
              <w:rPr>
                <w:rFonts w:hint="eastAsia" w:ascii="宋体" w:hAnsi="宋体" w:eastAsia="宋体" w:cs="宋体"/>
                <w:sz w:val="24"/>
                <w:szCs w:val="24"/>
              </w:rPr>
              <w:t>静态载重≥200kg，车体配置防滑轮及电动助力模块</w:t>
            </w:r>
          </w:p>
        </w:tc>
        <w:tc>
          <w:tcPr>
            <w:tcW w:w="538" w:type="pct"/>
            <w:noWrap w:val="0"/>
            <w:vAlign w:val="center"/>
          </w:tcPr>
          <w:p>
            <w:pPr>
              <w:pStyle w:val="3"/>
              <w:spacing w:after="0"/>
              <w:ind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辆</w:t>
            </w:r>
          </w:p>
        </w:tc>
        <w:tc>
          <w:tcPr>
            <w:tcW w:w="560" w:type="pct"/>
            <w:noWrap w:val="0"/>
            <w:vAlign w:val="center"/>
          </w:tcPr>
          <w:p>
            <w:pPr>
              <w:pStyle w:val="3"/>
              <w:spacing w:after="0"/>
              <w:ind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0" w:type="pct"/>
            <w:noWrap w:val="0"/>
            <w:vAlign w:val="center"/>
          </w:tcPr>
          <w:p>
            <w:pPr>
              <w:pStyle w:val="3"/>
              <w:spacing w:after="0"/>
              <w:ind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761" w:type="pct"/>
            <w:noWrap w:val="0"/>
            <w:vAlign w:val="center"/>
          </w:tcPr>
          <w:p>
            <w:pPr>
              <w:pStyle w:val="3"/>
              <w:spacing w:after="0"/>
              <w:ind w:firstLine="0" w:firstLineChars="0"/>
              <w:jc w:val="center"/>
              <w:rPr>
                <w:rFonts w:hint="eastAsia" w:ascii="宋体" w:hAnsi="宋体" w:eastAsia="宋体" w:cs="宋体"/>
                <w:sz w:val="24"/>
                <w:szCs w:val="24"/>
                <w:lang w:val="en-US" w:eastAsia="zh-CN"/>
              </w:rPr>
            </w:pPr>
            <w:r>
              <w:rPr>
                <w:rFonts w:hint="eastAsia" w:ascii="宋体" w:hAnsi="宋体" w:eastAsia="宋体" w:cs="宋体"/>
                <w:bCs w:val="0"/>
                <w:sz w:val="24"/>
                <w:szCs w:val="24"/>
                <w:lang w:val="en-US" w:eastAsia="zh-CN"/>
              </w:rPr>
              <w:t>4G流量卡</w:t>
            </w:r>
          </w:p>
        </w:tc>
        <w:tc>
          <w:tcPr>
            <w:tcW w:w="2869" w:type="pct"/>
            <w:noWrap w:val="0"/>
            <w:vAlign w:val="center"/>
          </w:tcPr>
          <w:p>
            <w:pPr>
              <w:pStyle w:val="3"/>
              <w:spacing w:after="0"/>
              <w:ind w:firstLine="0" w:firstLineChars="0"/>
              <w:rPr>
                <w:rFonts w:hint="eastAsia" w:ascii="宋体" w:hAnsi="宋体" w:eastAsia="宋体" w:cs="宋体"/>
                <w:sz w:val="24"/>
                <w:szCs w:val="24"/>
                <w:lang w:val="en-US" w:eastAsia="zh-CN"/>
              </w:rPr>
            </w:pPr>
            <w:r>
              <w:rPr>
                <w:rFonts w:hint="eastAsia" w:ascii="宋体" w:hAnsi="宋体" w:eastAsia="宋体" w:cs="宋体"/>
                <w:bCs w:val="0"/>
                <w:sz w:val="24"/>
                <w:szCs w:val="24"/>
                <w:lang w:val="en-US" w:eastAsia="zh-CN"/>
              </w:rPr>
              <w:t>提供1年流量卡, 满足设备无线通讯和传输数据。</w:t>
            </w:r>
          </w:p>
        </w:tc>
        <w:tc>
          <w:tcPr>
            <w:tcW w:w="538" w:type="pct"/>
            <w:noWrap w:val="0"/>
            <w:vAlign w:val="center"/>
          </w:tcPr>
          <w:p>
            <w:pPr>
              <w:pStyle w:val="3"/>
              <w:spacing w:after="0"/>
              <w:ind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张</w:t>
            </w:r>
          </w:p>
        </w:tc>
        <w:tc>
          <w:tcPr>
            <w:tcW w:w="560" w:type="pct"/>
            <w:noWrap w:val="0"/>
            <w:vAlign w:val="center"/>
          </w:tcPr>
          <w:p>
            <w:pPr>
              <w:pStyle w:val="3"/>
              <w:spacing w:after="0"/>
              <w:ind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0" w:type="pct"/>
            <w:noWrap w:val="0"/>
            <w:vAlign w:val="center"/>
          </w:tcPr>
          <w:p>
            <w:pPr>
              <w:pStyle w:val="3"/>
              <w:spacing w:after="0"/>
              <w:ind w:firstLine="0" w:firstLineChars="0"/>
              <w:jc w:val="center"/>
              <w:rPr>
                <w:rFonts w:hint="eastAsia" w:ascii="宋体" w:hAnsi="宋体" w:eastAsia="宋体" w:cs="宋体"/>
                <w:sz w:val="24"/>
                <w:szCs w:val="24"/>
                <w:lang w:val="en-US" w:eastAsia="zh-CN"/>
              </w:rPr>
            </w:pPr>
          </w:p>
        </w:tc>
        <w:tc>
          <w:tcPr>
            <w:tcW w:w="761" w:type="pct"/>
            <w:noWrap w:val="0"/>
            <w:vAlign w:val="center"/>
          </w:tcPr>
          <w:p>
            <w:pPr>
              <w:pStyle w:val="3"/>
              <w:spacing w:after="0"/>
              <w:ind w:firstLine="0" w:firstLineChars="0"/>
              <w:jc w:val="center"/>
              <w:rPr>
                <w:rFonts w:hint="eastAsia" w:ascii="宋体" w:hAnsi="宋体" w:eastAsia="宋体" w:cs="宋体"/>
                <w:bCs w:val="0"/>
                <w:sz w:val="24"/>
                <w:szCs w:val="24"/>
                <w:lang w:val="en-US" w:eastAsia="zh-CN"/>
              </w:rPr>
            </w:pPr>
          </w:p>
        </w:tc>
        <w:tc>
          <w:tcPr>
            <w:tcW w:w="2869" w:type="pct"/>
            <w:noWrap w:val="0"/>
            <w:vAlign w:val="center"/>
          </w:tcPr>
          <w:p>
            <w:pPr>
              <w:pStyle w:val="3"/>
              <w:spacing w:after="0"/>
              <w:ind w:firstLine="0" w:firstLineChars="0"/>
              <w:rPr>
                <w:rFonts w:hint="eastAsia" w:ascii="宋体" w:hAnsi="宋体" w:eastAsia="宋体" w:cs="宋体"/>
                <w:bCs w:val="0"/>
                <w:sz w:val="24"/>
                <w:szCs w:val="24"/>
                <w:lang w:val="en-US" w:eastAsia="zh-CN"/>
              </w:rPr>
            </w:pPr>
          </w:p>
        </w:tc>
        <w:tc>
          <w:tcPr>
            <w:tcW w:w="538" w:type="pct"/>
            <w:noWrap w:val="0"/>
            <w:vAlign w:val="center"/>
          </w:tcPr>
          <w:p>
            <w:pPr>
              <w:pStyle w:val="3"/>
              <w:spacing w:after="0"/>
              <w:ind w:firstLine="0" w:firstLineChars="0"/>
              <w:jc w:val="center"/>
              <w:rPr>
                <w:rFonts w:hint="eastAsia" w:ascii="宋体" w:hAnsi="宋体" w:eastAsia="宋体" w:cs="宋体"/>
                <w:sz w:val="24"/>
                <w:szCs w:val="24"/>
                <w:lang w:val="en-US" w:eastAsia="zh-CN"/>
              </w:rPr>
            </w:pPr>
          </w:p>
        </w:tc>
        <w:tc>
          <w:tcPr>
            <w:tcW w:w="560" w:type="pct"/>
            <w:noWrap w:val="0"/>
            <w:vAlign w:val="center"/>
          </w:tcPr>
          <w:p>
            <w:pPr>
              <w:pStyle w:val="3"/>
              <w:spacing w:after="0"/>
              <w:ind w:firstLine="0" w:firstLineChars="0"/>
              <w:jc w:val="center"/>
              <w:rPr>
                <w:rFonts w:hint="eastAsia" w:ascii="宋体" w:hAnsi="宋体" w:eastAsia="宋体" w:cs="宋体"/>
                <w:sz w:val="24"/>
                <w:szCs w:val="24"/>
                <w:lang w:val="en-US" w:eastAsia="zh-CN"/>
              </w:rPr>
            </w:pPr>
          </w:p>
        </w:tc>
      </w:tr>
    </w:tbl>
    <w:p>
      <w:pPr>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val="en-US" w:eastAsia="zh-CN"/>
        </w:rPr>
        <w:t>2</w:t>
      </w:r>
      <w:r>
        <w:rPr>
          <w:rFonts w:hint="eastAsia" w:ascii="宋体" w:hAnsi="宋体" w:eastAsia="宋体" w:cs="宋体"/>
          <w:sz w:val="24"/>
          <w:szCs w:val="24"/>
        </w:rPr>
        <w:t xml:space="preserve"> 质保与服务</w:t>
      </w:r>
    </w:p>
    <w:p>
      <w:pPr>
        <w:numPr>
          <w:ilvl w:val="0"/>
          <w:numId w:val="4"/>
        </w:numPr>
        <w:ind w:left="420" w:leftChars="0" w:hanging="420" w:firstLineChars="0"/>
        <w:rPr>
          <w:rFonts w:hint="eastAsia" w:ascii="宋体" w:hAnsi="宋体" w:eastAsia="宋体" w:cs="宋体"/>
          <w:sz w:val="24"/>
          <w:szCs w:val="24"/>
        </w:rPr>
      </w:pPr>
      <w:r>
        <w:rPr>
          <w:rFonts w:hint="eastAsia" w:ascii="宋体" w:hAnsi="宋体" w:eastAsia="宋体" w:cs="宋体"/>
          <w:sz w:val="24"/>
          <w:szCs w:val="24"/>
        </w:rPr>
        <w:t>所有设备提供</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年质保，7×24小时故障响应（≤4小时到场）。</w:t>
      </w:r>
    </w:p>
    <w:p>
      <w:pPr>
        <w:numPr>
          <w:ilvl w:val="0"/>
          <w:numId w:val="4"/>
        </w:numPr>
        <w:ind w:left="420" w:leftChars="0" w:hanging="420" w:firstLineChars="0"/>
        <w:rPr>
          <w:rFonts w:hint="eastAsia" w:ascii="宋体" w:hAnsi="宋体" w:eastAsia="宋体" w:cs="宋体"/>
          <w:sz w:val="24"/>
          <w:szCs w:val="24"/>
        </w:rPr>
      </w:pPr>
      <w:r>
        <w:rPr>
          <w:rFonts w:hint="eastAsia" w:ascii="宋体" w:hAnsi="宋体" w:eastAsia="宋体" w:cs="宋体"/>
          <w:sz w:val="24"/>
          <w:szCs w:val="24"/>
        </w:rPr>
        <w:t>需提供</w:t>
      </w:r>
      <w:r>
        <w:rPr>
          <w:rFonts w:hint="eastAsia" w:ascii="宋体" w:hAnsi="宋体" w:eastAsia="宋体" w:cs="宋体"/>
          <w:sz w:val="24"/>
          <w:szCs w:val="24"/>
          <w:lang w:val="en-US" w:eastAsia="zh-CN"/>
        </w:rPr>
        <w:t>5</w:t>
      </w:r>
      <w:r>
        <w:rPr>
          <w:rFonts w:hint="eastAsia" w:ascii="宋体" w:hAnsi="宋体" w:eastAsia="宋体" w:cs="宋体"/>
          <w:sz w:val="24"/>
          <w:szCs w:val="24"/>
        </w:rPr>
        <w:t>台备用机，确保故障时即时替换。</w:t>
      </w:r>
    </w:p>
    <w:p>
      <w:pPr>
        <w:rPr>
          <w:rFonts w:hint="eastAsia" w:ascii="宋体" w:hAnsi="宋体" w:eastAsia="宋体" w:cs="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5FEAEA"/>
    <w:multiLevelType w:val="singleLevel"/>
    <w:tmpl w:val="FF5FEAEA"/>
    <w:lvl w:ilvl="0" w:tentative="0">
      <w:start w:val="3"/>
      <w:numFmt w:val="decimal"/>
      <w:suff w:val="nothing"/>
      <w:lvlText w:val="%1、"/>
      <w:lvlJc w:val="left"/>
    </w:lvl>
  </w:abstractNum>
  <w:abstractNum w:abstractNumId="1">
    <w:nsid w:val="09890BCC"/>
    <w:multiLevelType w:val="multilevel"/>
    <w:tmpl w:val="09890BCC"/>
    <w:lvl w:ilvl="0" w:tentative="0">
      <w:start w:val="1"/>
      <w:numFmt w:val="decimal"/>
      <w:pStyle w:val="6"/>
      <w:lvlText w:val="%1．"/>
      <w:lvlJc w:val="left"/>
      <w:pPr>
        <w:tabs>
          <w:tab w:val="left" w:pos="900"/>
        </w:tabs>
        <w:ind w:left="900" w:hanging="720"/>
      </w:pPr>
      <w:rPr>
        <w:rFonts w:hint="eastAsia"/>
      </w:rPr>
    </w:lvl>
    <w:lvl w:ilvl="1" w:tentative="0">
      <w:start w:val="1"/>
      <w:numFmt w:val="lowerLetter"/>
      <w:lvlText w:val="%2)"/>
      <w:lvlJc w:val="left"/>
      <w:pPr>
        <w:tabs>
          <w:tab w:val="left" w:pos="1020"/>
        </w:tabs>
        <w:ind w:left="1020" w:hanging="420"/>
      </w:pPr>
    </w:lvl>
    <w:lvl w:ilvl="2" w:tentative="0">
      <w:start w:val="1"/>
      <w:numFmt w:val="lowerRoman"/>
      <w:lvlText w:val="%3."/>
      <w:lvlJc w:val="right"/>
      <w:pPr>
        <w:tabs>
          <w:tab w:val="left" w:pos="1440"/>
        </w:tabs>
        <w:ind w:left="1440" w:hanging="420"/>
      </w:pPr>
    </w:lvl>
    <w:lvl w:ilvl="3" w:tentative="0">
      <w:start w:val="1"/>
      <w:numFmt w:val="decimal"/>
      <w:lvlText w:val="%4."/>
      <w:lvlJc w:val="left"/>
      <w:pPr>
        <w:tabs>
          <w:tab w:val="left" w:pos="1860"/>
        </w:tabs>
        <w:ind w:left="1860" w:hanging="420"/>
      </w:pPr>
    </w:lvl>
    <w:lvl w:ilvl="4" w:tentative="0">
      <w:start w:val="1"/>
      <w:numFmt w:val="lowerLetter"/>
      <w:lvlText w:val="%5)"/>
      <w:lvlJc w:val="left"/>
      <w:pPr>
        <w:tabs>
          <w:tab w:val="left" w:pos="2280"/>
        </w:tabs>
        <w:ind w:left="2280" w:hanging="420"/>
      </w:pPr>
    </w:lvl>
    <w:lvl w:ilvl="5" w:tentative="0">
      <w:start w:val="1"/>
      <w:numFmt w:val="lowerRoman"/>
      <w:lvlText w:val="%6."/>
      <w:lvlJc w:val="right"/>
      <w:pPr>
        <w:tabs>
          <w:tab w:val="left" w:pos="2700"/>
        </w:tabs>
        <w:ind w:left="2700" w:hanging="420"/>
      </w:pPr>
    </w:lvl>
    <w:lvl w:ilvl="6" w:tentative="0">
      <w:start w:val="1"/>
      <w:numFmt w:val="decimal"/>
      <w:lvlText w:val="%7."/>
      <w:lvlJc w:val="left"/>
      <w:pPr>
        <w:tabs>
          <w:tab w:val="left" w:pos="3120"/>
        </w:tabs>
        <w:ind w:left="3120" w:hanging="420"/>
      </w:pPr>
    </w:lvl>
    <w:lvl w:ilvl="7" w:tentative="0">
      <w:start w:val="1"/>
      <w:numFmt w:val="lowerLetter"/>
      <w:lvlText w:val="%8)"/>
      <w:lvlJc w:val="left"/>
      <w:pPr>
        <w:tabs>
          <w:tab w:val="left" w:pos="3540"/>
        </w:tabs>
        <w:ind w:left="3540" w:hanging="420"/>
      </w:pPr>
    </w:lvl>
    <w:lvl w:ilvl="8" w:tentative="0">
      <w:start w:val="1"/>
      <w:numFmt w:val="lowerRoman"/>
      <w:lvlText w:val="%9."/>
      <w:lvlJc w:val="right"/>
      <w:pPr>
        <w:tabs>
          <w:tab w:val="left" w:pos="3960"/>
        </w:tabs>
        <w:ind w:left="3960" w:hanging="420"/>
      </w:pPr>
    </w:lvl>
  </w:abstractNum>
  <w:abstractNum w:abstractNumId="2">
    <w:nsid w:val="58864707"/>
    <w:multiLevelType w:val="singleLevel"/>
    <w:tmpl w:val="58864707"/>
    <w:lvl w:ilvl="0" w:tentative="0">
      <w:start w:val="1"/>
      <w:numFmt w:val="bullet"/>
      <w:lvlText w:val=""/>
      <w:lvlJc w:val="left"/>
      <w:pPr>
        <w:ind w:left="420" w:hanging="420"/>
      </w:pPr>
      <w:rPr>
        <w:rFonts w:hint="default" w:ascii="Wingdings" w:hAnsi="Wingdings"/>
      </w:rPr>
    </w:lvl>
  </w:abstractNum>
  <w:abstractNum w:abstractNumId="3">
    <w:nsid w:val="65031619"/>
    <w:multiLevelType w:val="singleLevel"/>
    <w:tmpl w:val="65031619"/>
    <w:lvl w:ilvl="0" w:tentative="0">
      <w:start w:val="1"/>
      <w:numFmt w:val="bullet"/>
      <w:lvlText w:val=""/>
      <w:lvlJc w:val="left"/>
      <w:pPr>
        <w:ind w:left="420" w:hanging="420"/>
      </w:pPr>
      <w:rPr>
        <w:rFonts w:hint="default" w:ascii="Wingdings" w:hAnsi="Wingdings"/>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AC00FC"/>
    <w:rsid w:val="02337D11"/>
    <w:rsid w:val="08752E31"/>
    <w:rsid w:val="096E5786"/>
    <w:rsid w:val="124E6FAB"/>
    <w:rsid w:val="15B42ABF"/>
    <w:rsid w:val="1FCF54B9"/>
    <w:rsid w:val="2C917D28"/>
    <w:rsid w:val="31774C75"/>
    <w:rsid w:val="3A703AAD"/>
    <w:rsid w:val="43BB3B11"/>
    <w:rsid w:val="450450CB"/>
    <w:rsid w:val="52ED0DE3"/>
    <w:rsid w:val="609C3A5A"/>
    <w:rsid w:val="6B126460"/>
    <w:rsid w:val="6D333A34"/>
    <w:rsid w:val="6D74BFF8"/>
    <w:rsid w:val="6EF5352C"/>
    <w:rsid w:val="71AC00FC"/>
    <w:rsid w:val="727C11F8"/>
    <w:rsid w:val="74EA0887"/>
    <w:rsid w:val="7B0546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rPr>
      <w:kern w:val="0"/>
      <w:sz w:val="28"/>
    </w:rPr>
  </w:style>
  <w:style w:type="paragraph" w:styleId="3">
    <w:name w:val="Body Text First Indent"/>
    <w:basedOn w:val="2"/>
    <w:next w:val="1"/>
    <w:qFormat/>
    <w:uiPriority w:val="99"/>
    <w:pPr>
      <w:spacing w:line="360" w:lineRule="auto"/>
      <w:ind w:firstLine="200" w:firstLineChars="200"/>
      <w:jc w:val="left"/>
    </w:pPr>
    <w:rPr>
      <w:rFonts w:cs="Times New Roman"/>
      <w:bCs/>
      <w:sz w:val="24"/>
      <w:szCs w:val="24"/>
    </w:rPr>
  </w:style>
  <w:style w:type="paragraph" w:customStyle="1" w:styleId="6">
    <w:name w:val="段"/>
    <w:basedOn w:val="1"/>
    <w:next w:val="1"/>
    <w:qFormat/>
    <w:uiPriority w:val="0"/>
    <w:pPr>
      <w:numPr>
        <w:ilvl w:val="0"/>
        <w:numId w:val="1"/>
      </w:numPr>
    </w:pPr>
    <w:rPr>
      <w:rFonts w:ascii="宋体"/>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192</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2025-05-28T14:10:00Z</dcterms:created>
  <dc:creator>夜间の光</dc:creator>
  <cp:lastModifiedBy>Administrator</cp:lastModifiedBy>
  <dcterms:modified xsi:type="dcterms:W3CDTF">2025-09-10T06:54:38Z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501C768123BEE8BECF2E7F68A4ED2F31_43</vt:lpwstr>
  </property>
  <property fmtid="{D5CDD505-2E9C-101B-9397-08002B2CF9AE}" pid="4" name="KSOTemplateDocerSaveRecord">
    <vt:lpwstr>eyJoZGlkIjoiZTA5YTkwODYwODNlNmNmYTNmOWFlMTI4MmNhMWU4NDEiLCJ1c2VySWQiOiI5Mzg5MjYwMTgifQ==</vt:lpwstr>
  </property>
</Properties>
</file>